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96" w:rsidRPr="00EC1527" w:rsidRDefault="00845C4A">
      <w:pPr>
        <w:rPr>
          <w:sz w:val="21"/>
          <w:szCs w:val="21"/>
        </w:rPr>
      </w:pPr>
      <w:r w:rsidRPr="00EC1527">
        <w:rPr>
          <w:sz w:val="21"/>
          <w:szCs w:val="21"/>
        </w:rPr>
        <w:t xml:space="preserve">The following </w:t>
      </w:r>
      <w:r w:rsidR="007B3812" w:rsidRPr="00EC1527">
        <w:rPr>
          <w:sz w:val="21"/>
          <w:szCs w:val="21"/>
        </w:rPr>
        <w:t xml:space="preserve">privacy / </w:t>
      </w:r>
      <w:r w:rsidRPr="00EC1527">
        <w:rPr>
          <w:sz w:val="21"/>
          <w:szCs w:val="21"/>
        </w:rPr>
        <w:t xml:space="preserve">security </w:t>
      </w:r>
      <w:r w:rsidR="007B3812" w:rsidRPr="00EC1527">
        <w:rPr>
          <w:sz w:val="21"/>
          <w:szCs w:val="21"/>
        </w:rPr>
        <w:t xml:space="preserve">solutions and services </w:t>
      </w:r>
      <w:r w:rsidRPr="00EC1527">
        <w:rPr>
          <w:sz w:val="21"/>
          <w:szCs w:val="21"/>
        </w:rPr>
        <w:t>should be evaluate</w:t>
      </w:r>
      <w:r w:rsidR="007A6A5F" w:rsidRPr="00EC1527">
        <w:rPr>
          <w:sz w:val="21"/>
          <w:szCs w:val="21"/>
        </w:rPr>
        <w:t>d for all Major/Large IT enabled</w:t>
      </w:r>
      <w:r w:rsidRPr="00EC1527">
        <w:rPr>
          <w:sz w:val="21"/>
          <w:szCs w:val="21"/>
        </w:rPr>
        <w:t xml:space="preserve"> </w:t>
      </w:r>
      <w:r w:rsidR="00CC47B2" w:rsidRPr="00EC1527">
        <w:rPr>
          <w:sz w:val="21"/>
          <w:szCs w:val="21"/>
        </w:rPr>
        <w:t>projects</w:t>
      </w:r>
      <w:r w:rsidRPr="00EC1527">
        <w:rPr>
          <w:sz w:val="21"/>
          <w:szCs w:val="21"/>
        </w:rPr>
        <w:t xml:space="preserve"> and projects collecting or storing significant volumes of High or Very-High risk information</w:t>
      </w:r>
      <w:r w:rsidR="00D04660" w:rsidRPr="00EC1527">
        <w:rPr>
          <w:sz w:val="21"/>
          <w:szCs w:val="21"/>
        </w:rPr>
        <w:t xml:space="preserve">. This checklist is to be utilized </w:t>
      </w:r>
      <w:r w:rsidR="00B300EB" w:rsidRPr="00EC1527">
        <w:rPr>
          <w:sz w:val="21"/>
          <w:szCs w:val="21"/>
        </w:rPr>
        <w:t xml:space="preserve">when assessing the functional and technical requirements fit prior procurement. The guide is </w:t>
      </w:r>
      <w:r w:rsidRPr="00EC1527">
        <w:rPr>
          <w:sz w:val="21"/>
          <w:szCs w:val="21"/>
        </w:rPr>
        <w:t xml:space="preserve">intended to </w:t>
      </w:r>
      <w:r w:rsidR="00047E4B" w:rsidRPr="00EC1527">
        <w:rPr>
          <w:sz w:val="21"/>
          <w:szCs w:val="21"/>
        </w:rPr>
        <w:t>outline</w:t>
      </w:r>
      <w:r w:rsidRPr="00EC1527">
        <w:rPr>
          <w:sz w:val="21"/>
          <w:szCs w:val="21"/>
        </w:rPr>
        <w:t xml:space="preserve"> core </w:t>
      </w:r>
      <w:r w:rsidR="00047E4B" w:rsidRPr="00EC1527">
        <w:rPr>
          <w:sz w:val="21"/>
          <w:szCs w:val="21"/>
        </w:rPr>
        <w:t>security</w:t>
      </w:r>
      <w:r w:rsidRPr="00EC1527">
        <w:rPr>
          <w:sz w:val="21"/>
          <w:szCs w:val="21"/>
        </w:rPr>
        <w:t xml:space="preserve"> services and integrations relevant to system implementations. The scope of the solutions implemented both informs the scope of the PIA, and provides assurance that the solution has been </w:t>
      </w:r>
      <w:r w:rsidR="00047E4B" w:rsidRPr="00EC1527">
        <w:rPr>
          <w:sz w:val="21"/>
          <w:szCs w:val="21"/>
        </w:rPr>
        <w:t>securely</w:t>
      </w:r>
      <w:r w:rsidRPr="00EC1527">
        <w:rPr>
          <w:sz w:val="21"/>
          <w:szCs w:val="21"/>
        </w:rPr>
        <w:t xml:space="preserve"> implemented. The PIA checklist should be reviewed when defining Functional and Technical </w:t>
      </w:r>
      <w:r w:rsidR="00047E4B" w:rsidRPr="00EC1527">
        <w:rPr>
          <w:sz w:val="21"/>
          <w:szCs w:val="21"/>
        </w:rPr>
        <w:t>Requirements</w:t>
      </w:r>
      <w:r w:rsidRPr="00EC1527">
        <w:rPr>
          <w:sz w:val="21"/>
          <w:szCs w:val="21"/>
        </w:rPr>
        <w:t xml:space="preserve">, subject matter experts </w:t>
      </w:r>
      <w:r w:rsidR="00047E4B" w:rsidRPr="00EC1527">
        <w:rPr>
          <w:sz w:val="21"/>
          <w:szCs w:val="21"/>
        </w:rPr>
        <w:t>should</w:t>
      </w:r>
      <w:r w:rsidRPr="00EC1527">
        <w:rPr>
          <w:sz w:val="21"/>
          <w:szCs w:val="21"/>
        </w:rPr>
        <w:t xml:space="preserve"> be consulted, and </w:t>
      </w:r>
      <w:r w:rsidR="00FD62AF" w:rsidRPr="00EC1527">
        <w:rPr>
          <w:sz w:val="21"/>
          <w:szCs w:val="21"/>
        </w:rPr>
        <w:t>cost estimates for each of the applicable services must be identified</w:t>
      </w:r>
      <w:r w:rsidR="00B04ADE" w:rsidRPr="00EC1527">
        <w:rPr>
          <w:sz w:val="21"/>
          <w:szCs w:val="21"/>
        </w:rPr>
        <w:t xml:space="preserve"> (where applicable)</w:t>
      </w:r>
      <w:r w:rsidR="00FD62AF" w:rsidRPr="00EC1527">
        <w:rPr>
          <w:sz w:val="21"/>
          <w:szCs w:val="21"/>
        </w:rPr>
        <w:t xml:space="preserve"> and integrated with project cost. Additionally, </w:t>
      </w:r>
      <w:r w:rsidRPr="00EC1527">
        <w:rPr>
          <w:sz w:val="21"/>
          <w:szCs w:val="21"/>
        </w:rPr>
        <w:t xml:space="preserve">the </w:t>
      </w:r>
      <w:r w:rsidR="003C6D61" w:rsidRPr="00EC1527">
        <w:rPr>
          <w:sz w:val="21"/>
          <w:szCs w:val="21"/>
        </w:rPr>
        <w:t xml:space="preserve">completed </w:t>
      </w:r>
      <w:r w:rsidRPr="00EC1527">
        <w:rPr>
          <w:sz w:val="21"/>
          <w:szCs w:val="21"/>
        </w:rPr>
        <w:t xml:space="preserve">PIA checklist should be provided to </w:t>
      </w:r>
      <w:hyperlink r:id="rId8" w:history="1">
        <w:r w:rsidR="003C6D61" w:rsidRPr="00EC1527">
          <w:rPr>
            <w:rStyle w:val="Hyperlink"/>
            <w:sz w:val="21"/>
            <w:szCs w:val="21"/>
          </w:rPr>
          <w:t>pia.process@ubc.ca</w:t>
        </w:r>
      </w:hyperlink>
      <w:r w:rsidR="003C6D61" w:rsidRPr="00EC1527">
        <w:rPr>
          <w:sz w:val="21"/>
          <w:szCs w:val="21"/>
        </w:rPr>
        <w:t xml:space="preserve"> identifying the solutions &amp; services to be implemented.</w:t>
      </w:r>
    </w:p>
    <w:tbl>
      <w:tblPr>
        <w:tblStyle w:val="GridTable4-Accent5"/>
        <w:tblW w:w="22675" w:type="dxa"/>
        <w:tblLook w:val="06A0" w:firstRow="1" w:lastRow="0" w:firstColumn="1" w:lastColumn="0" w:noHBand="1" w:noVBand="1"/>
      </w:tblPr>
      <w:tblGrid>
        <w:gridCol w:w="328"/>
        <w:gridCol w:w="2969"/>
        <w:gridCol w:w="12898"/>
        <w:gridCol w:w="6480"/>
      </w:tblGrid>
      <w:tr w:rsidR="00A025FA" w:rsidRPr="00EC1527" w:rsidTr="00A025FA">
        <w:trPr>
          <w:cnfStyle w:val="100000000000" w:firstRow="1" w:lastRow="0" w:firstColumn="0" w:lastColumn="0" w:oddVBand="0" w:evenVBand="0" w:oddHBand="0" w:evenHBand="0" w:firstRowFirstColumn="0" w:firstRowLastColumn="0" w:lastRowFirstColumn="0" w:lastRowLastColumn="0"/>
          <w:trHeight w:val="251"/>
          <w:tblHeader/>
        </w:trPr>
        <w:tc>
          <w:tcPr>
            <w:cnfStyle w:val="001000000000" w:firstRow="0" w:lastRow="0" w:firstColumn="1" w:lastColumn="0" w:oddVBand="0" w:evenVBand="0" w:oddHBand="0" w:evenHBand="0" w:firstRowFirstColumn="0" w:firstRowLastColumn="0" w:lastRowFirstColumn="0" w:lastRowLastColumn="0"/>
            <w:tcW w:w="328" w:type="dxa"/>
          </w:tcPr>
          <w:p w:rsidR="00A025FA" w:rsidRPr="00EC1527" w:rsidRDefault="00A025FA" w:rsidP="00243471">
            <w:pPr>
              <w:rPr>
                <w:sz w:val="21"/>
                <w:szCs w:val="21"/>
              </w:rPr>
            </w:pPr>
            <w:r w:rsidRPr="00EC1527">
              <w:rPr>
                <w:sz w:val="21"/>
                <w:szCs w:val="21"/>
              </w:rPr>
              <w:t>#</w:t>
            </w:r>
          </w:p>
        </w:tc>
        <w:tc>
          <w:tcPr>
            <w:tcW w:w="2969" w:type="dxa"/>
          </w:tcPr>
          <w:p w:rsidR="00A025FA" w:rsidRPr="00EC1527" w:rsidRDefault="00A025FA" w:rsidP="00243471">
            <w:pPr>
              <w:cnfStyle w:val="100000000000" w:firstRow="1" w:lastRow="0" w:firstColumn="0" w:lastColumn="0" w:oddVBand="0" w:evenVBand="0" w:oddHBand="0" w:evenHBand="0" w:firstRowFirstColumn="0" w:firstRowLastColumn="0" w:lastRowFirstColumn="0" w:lastRowLastColumn="0"/>
              <w:rPr>
                <w:b w:val="0"/>
                <w:sz w:val="21"/>
                <w:szCs w:val="21"/>
              </w:rPr>
            </w:pPr>
            <w:r w:rsidRPr="00EC1527">
              <w:rPr>
                <w:sz w:val="21"/>
                <w:szCs w:val="21"/>
              </w:rPr>
              <w:t>Security Integration/Service</w:t>
            </w:r>
          </w:p>
        </w:tc>
        <w:tc>
          <w:tcPr>
            <w:tcW w:w="12898" w:type="dxa"/>
          </w:tcPr>
          <w:p w:rsidR="00A025FA" w:rsidRPr="00EC1527" w:rsidRDefault="00A025FA" w:rsidP="00243471">
            <w:pPr>
              <w:cnfStyle w:val="100000000000" w:firstRow="1" w:lastRow="0" w:firstColumn="0" w:lastColumn="0" w:oddVBand="0" w:evenVBand="0" w:oddHBand="0" w:evenHBand="0" w:firstRowFirstColumn="0" w:firstRowLastColumn="0" w:lastRowFirstColumn="0" w:lastRowLastColumn="0"/>
              <w:rPr>
                <w:sz w:val="21"/>
                <w:szCs w:val="21"/>
              </w:rPr>
            </w:pPr>
            <w:r w:rsidRPr="00EC1527">
              <w:rPr>
                <w:sz w:val="21"/>
                <w:szCs w:val="21"/>
              </w:rPr>
              <w:t>What does the solution do?</w:t>
            </w:r>
          </w:p>
        </w:tc>
        <w:tc>
          <w:tcPr>
            <w:tcW w:w="6480" w:type="dxa"/>
          </w:tcPr>
          <w:p w:rsidR="00A025FA" w:rsidRPr="00EC1527" w:rsidRDefault="00A025FA" w:rsidP="00A025FA">
            <w:pPr>
              <w:ind w:left="-22"/>
              <w:cnfStyle w:val="100000000000" w:firstRow="1" w:lastRow="0" w:firstColumn="0" w:lastColumn="0" w:oddVBand="0" w:evenVBand="0" w:oddHBand="0" w:evenHBand="0" w:firstRowFirstColumn="0" w:firstRowLastColumn="0" w:lastRowFirstColumn="0" w:lastRowLastColumn="0"/>
              <w:rPr>
                <w:sz w:val="21"/>
                <w:szCs w:val="21"/>
              </w:rPr>
            </w:pPr>
            <w:r w:rsidRPr="00EC1527">
              <w:rPr>
                <w:sz w:val="21"/>
                <w:szCs w:val="21"/>
              </w:rPr>
              <w:t>PIA Checklist</w:t>
            </w:r>
            <w:r w:rsidR="0000229B">
              <w:rPr>
                <w:sz w:val="21"/>
                <w:szCs w:val="21"/>
              </w:rPr>
              <w:t xml:space="preserve"> (</w:t>
            </w:r>
            <w:r w:rsidR="0000229B">
              <w:rPr>
                <w:b w:val="0"/>
                <w:sz w:val="21"/>
                <w:szCs w:val="21"/>
              </w:rPr>
              <w:t>C</w:t>
            </w:r>
            <w:r w:rsidR="0000229B" w:rsidRPr="0000229B">
              <w:rPr>
                <w:b w:val="0"/>
                <w:sz w:val="21"/>
                <w:szCs w:val="21"/>
              </w:rPr>
              <w:t>heck all that apply</w:t>
            </w:r>
            <w:r w:rsidR="0000229B">
              <w:rPr>
                <w:sz w:val="21"/>
                <w:szCs w:val="21"/>
              </w:rPr>
              <w:t>)</w:t>
            </w:r>
          </w:p>
        </w:tc>
      </w:tr>
      <w:tr w:rsidR="00A025FA" w:rsidRPr="00EC1527" w:rsidTr="00EC36F8">
        <w:trPr>
          <w:trHeight w:val="2078"/>
        </w:trPr>
        <w:tc>
          <w:tcPr>
            <w:cnfStyle w:val="001000000000" w:firstRow="0" w:lastRow="0" w:firstColumn="1" w:lastColumn="0" w:oddVBand="0" w:evenVBand="0" w:oddHBand="0" w:evenHBand="0" w:firstRowFirstColumn="0" w:firstRowLastColumn="0" w:lastRowFirstColumn="0" w:lastRowLastColumn="0"/>
            <w:tcW w:w="328" w:type="dxa"/>
            <w:shd w:val="clear" w:color="auto" w:fill="D9E2F3" w:themeFill="accent5" w:themeFillTint="33"/>
          </w:tcPr>
          <w:p w:rsidR="00A025FA" w:rsidRPr="00EC1527" w:rsidRDefault="00A025FA" w:rsidP="00243471">
            <w:pPr>
              <w:rPr>
                <w:sz w:val="21"/>
                <w:szCs w:val="21"/>
              </w:rPr>
            </w:pPr>
            <w:r w:rsidRPr="00EC1527">
              <w:rPr>
                <w:sz w:val="21"/>
                <w:szCs w:val="21"/>
              </w:rPr>
              <w:t>1</w:t>
            </w:r>
          </w:p>
        </w:tc>
        <w:tc>
          <w:tcPr>
            <w:tcW w:w="2969" w:type="dxa"/>
            <w:shd w:val="clear" w:color="auto" w:fill="D9E2F3" w:themeFill="accent5" w:themeFillTint="33"/>
          </w:tcPr>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Identify and Access Management (IAM) &amp; Campus Wide Logon(CWL)</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b/>
                <w:sz w:val="21"/>
                <w:szCs w:val="21"/>
              </w:rPr>
            </w:pPr>
            <w:r w:rsidRPr="00EC1527">
              <w:rPr>
                <w:i/>
                <w:sz w:val="21"/>
                <w:szCs w:val="21"/>
                <w:u w:val="single"/>
              </w:rPr>
              <w:t>Contact</w:t>
            </w:r>
            <w:r w:rsidRPr="00EC1527">
              <w:rPr>
                <w:i/>
                <w:sz w:val="21"/>
                <w:szCs w:val="21"/>
              </w:rPr>
              <w:t xml:space="preserve"> </w:t>
            </w:r>
            <w:hyperlink r:id="rId9" w:history="1">
              <w:r w:rsidRPr="00EC1527">
                <w:rPr>
                  <w:rStyle w:val="Hyperlink"/>
                  <w:sz w:val="21"/>
                  <w:szCs w:val="21"/>
                </w:rPr>
                <w:t>sebastian.gonzalez@ubc.ca</w:t>
              </w:r>
            </w:hyperlink>
            <w:r w:rsidRPr="00EC1527">
              <w:rPr>
                <w:sz w:val="21"/>
                <w:szCs w:val="21"/>
              </w:rPr>
              <w:t xml:space="preserve"> </w:t>
            </w:r>
          </w:p>
        </w:tc>
        <w:tc>
          <w:tcPr>
            <w:tcW w:w="12898" w:type="dxa"/>
            <w:shd w:val="clear" w:color="auto" w:fill="D9E2F3" w:themeFill="accent5" w:themeFillTint="33"/>
          </w:tcPr>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The Campus Wide Login (CWL) suite of services to lower administration effort of managing accounts, improve user experience and reduce privacy and security risk by increasing compliance. Services include:</w:t>
            </w:r>
          </w:p>
          <w:p w:rsidR="00A025FA" w:rsidRPr="00EC1527" w:rsidRDefault="00A025FA" w:rsidP="0024347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authentication</w:t>
            </w:r>
          </w:p>
          <w:p w:rsidR="00A025FA" w:rsidRPr="00EC1527" w:rsidRDefault="00A025FA" w:rsidP="0024347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authorization</w:t>
            </w:r>
          </w:p>
          <w:p w:rsidR="00A025FA" w:rsidRPr="00EC1527" w:rsidRDefault="00A025FA" w:rsidP="0024347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 xml:space="preserve">automated provisioning and de-provisioning of accounts </w:t>
            </w:r>
          </w:p>
          <w:p w:rsidR="00A025FA" w:rsidRPr="00EC1527" w:rsidRDefault="00A025FA" w:rsidP="0024347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provisioning of information to vendors (identifiers, tokens, attributes)</w:t>
            </w:r>
          </w:p>
          <w:p w:rsidR="00A025FA" w:rsidRPr="00EC1527" w:rsidRDefault="00A025FA" w:rsidP="0024347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provision of privacy notification and collection of consent</w:t>
            </w:r>
          </w:p>
          <w:p w:rsidR="003B62DD" w:rsidRPr="00EC1527" w:rsidRDefault="00C05966" w:rsidP="0024347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M</w:t>
            </w:r>
            <w:r w:rsidR="003B62DD" w:rsidRPr="00EC1527">
              <w:rPr>
                <w:sz w:val="21"/>
                <w:szCs w:val="21"/>
              </w:rPr>
              <w:t>ulti-factor authentication (MFA) and authorization</w:t>
            </w:r>
            <w:bookmarkStart w:id="0" w:name="_GoBack"/>
            <w:bookmarkEnd w:id="0"/>
          </w:p>
        </w:tc>
        <w:tc>
          <w:tcPr>
            <w:tcW w:w="6480" w:type="dxa"/>
            <w:shd w:val="clear" w:color="auto" w:fill="D9E2F3" w:themeFill="accent5" w:themeFillTint="33"/>
          </w:tcPr>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7885312"/>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CWL used for authentication </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769985599"/>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CWL used for authorization</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837762632"/>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w:t>
            </w:r>
            <w:r w:rsidR="00BF3AF0" w:rsidRPr="00EC1527">
              <w:rPr>
                <w:sz w:val="21"/>
                <w:szCs w:val="21"/>
              </w:rPr>
              <w:t>Automated</w:t>
            </w:r>
            <w:r w:rsidR="00A025FA" w:rsidRPr="00EC1527">
              <w:rPr>
                <w:sz w:val="21"/>
                <w:szCs w:val="21"/>
              </w:rPr>
              <w:t xml:space="preserve"> provisioning/de-provisioning</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365916931"/>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CWL used for privacy notification/consent gathering</w:t>
            </w:r>
          </w:p>
          <w:p w:rsidR="003B62DD"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548370949"/>
                <w14:checkbox>
                  <w14:checked w14:val="0"/>
                  <w14:checkedState w14:val="2612" w14:font="MS Gothic"/>
                  <w14:uncheckedState w14:val="2610" w14:font="MS Gothic"/>
                </w14:checkbox>
              </w:sdtPr>
              <w:sdtEndPr/>
              <w:sdtContent>
                <w:r w:rsidR="003B62DD" w:rsidRPr="00EC1527">
                  <w:rPr>
                    <w:rFonts w:ascii="MS Gothic" w:eastAsia="MS Gothic" w:hAnsi="MS Gothic" w:hint="eastAsia"/>
                    <w:sz w:val="21"/>
                    <w:szCs w:val="21"/>
                  </w:rPr>
                  <w:t>☐</w:t>
                </w:r>
              </w:sdtContent>
            </w:sdt>
            <w:r w:rsidR="003B62DD" w:rsidRPr="00EC1527">
              <w:rPr>
                <w:sz w:val="21"/>
                <w:szCs w:val="21"/>
              </w:rPr>
              <w:t xml:space="preserve"> MFA authentication and authorization</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230826160"/>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Not applicable</w:t>
            </w:r>
          </w:p>
        </w:tc>
      </w:tr>
      <w:tr w:rsidR="00A025FA" w:rsidRPr="00EC1527" w:rsidTr="00B04ADE">
        <w:trPr>
          <w:trHeight w:val="1178"/>
        </w:trPr>
        <w:tc>
          <w:tcPr>
            <w:cnfStyle w:val="001000000000" w:firstRow="0" w:lastRow="0" w:firstColumn="1" w:lastColumn="0" w:oddVBand="0" w:evenVBand="0" w:oddHBand="0" w:evenHBand="0" w:firstRowFirstColumn="0" w:firstRowLastColumn="0" w:lastRowFirstColumn="0" w:lastRowLastColumn="0"/>
            <w:tcW w:w="328" w:type="dxa"/>
          </w:tcPr>
          <w:p w:rsidR="00A025FA" w:rsidRPr="00EC1527" w:rsidRDefault="00A025FA" w:rsidP="00243471">
            <w:pPr>
              <w:rPr>
                <w:sz w:val="21"/>
                <w:szCs w:val="21"/>
              </w:rPr>
            </w:pPr>
            <w:r w:rsidRPr="00EC1527">
              <w:rPr>
                <w:sz w:val="21"/>
                <w:szCs w:val="21"/>
              </w:rPr>
              <w:t>2</w:t>
            </w:r>
          </w:p>
        </w:tc>
        <w:tc>
          <w:tcPr>
            <w:tcW w:w="2969" w:type="dxa"/>
          </w:tcPr>
          <w:p w:rsidR="00A025FA" w:rsidRPr="00EC1527" w:rsidRDefault="003B62DD"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Log Consolidation Service</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b/>
                <w:i/>
                <w:sz w:val="21"/>
                <w:szCs w:val="21"/>
                <w:u w:val="single"/>
              </w:rPr>
            </w:pPr>
            <w:r w:rsidRPr="00EC1527">
              <w:rPr>
                <w:i/>
                <w:sz w:val="21"/>
                <w:szCs w:val="21"/>
                <w:u w:val="single"/>
              </w:rPr>
              <w:t xml:space="preserve">Contact: </w:t>
            </w:r>
          </w:p>
          <w:p w:rsidR="00A025FA" w:rsidRPr="00EC1527" w:rsidRDefault="00236CD9"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rStyle w:val="Hyperlink"/>
                <w:sz w:val="21"/>
                <w:szCs w:val="21"/>
              </w:rPr>
              <w:t>steve.rosco</w:t>
            </w:r>
            <w:r w:rsidR="00EC36F8" w:rsidRPr="00EC1527">
              <w:rPr>
                <w:rStyle w:val="Hyperlink"/>
                <w:sz w:val="21"/>
                <w:szCs w:val="21"/>
              </w:rPr>
              <w:t>@ubc.ca</w:t>
            </w:r>
          </w:p>
        </w:tc>
        <w:tc>
          <w:tcPr>
            <w:tcW w:w="12898" w:type="dxa"/>
          </w:tcPr>
          <w:p w:rsidR="00A025FA" w:rsidRPr="00EC1527" w:rsidRDefault="003B62DD"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Log consolidation</w:t>
            </w:r>
            <w:r w:rsidR="00A025FA" w:rsidRPr="00EC1527">
              <w:rPr>
                <w:sz w:val="21"/>
                <w:szCs w:val="21"/>
              </w:rPr>
              <w:t xml:space="preserve"> is a service to capture and monitor key security related logs from UBC systems. The service assists service owners to: </w:t>
            </w:r>
          </w:p>
          <w:p w:rsidR="00A025FA" w:rsidRPr="00EC1527" w:rsidRDefault="00A025FA" w:rsidP="0024347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Comply with ISS-17</w:t>
            </w:r>
          </w:p>
          <w:p w:rsidR="00A025FA" w:rsidRPr="00EC1527" w:rsidRDefault="00A025FA" w:rsidP="0024347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Identify security events impacting their system identification logic</w:t>
            </w:r>
          </w:p>
        </w:tc>
        <w:tc>
          <w:tcPr>
            <w:tcW w:w="6480" w:type="dxa"/>
          </w:tcPr>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418477222"/>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w:t>
            </w:r>
            <w:r w:rsidR="003B62DD" w:rsidRPr="00EC1527">
              <w:rPr>
                <w:sz w:val="21"/>
                <w:szCs w:val="21"/>
              </w:rPr>
              <w:t xml:space="preserve">Log </w:t>
            </w:r>
            <w:r w:rsidR="00BF3AF0" w:rsidRPr="00EC1527">
              <w:rPr>
                <w:sz w:val="21"/>
                <w:szCs w:val="21"/>
              </w:rPr>
              <w:t>c</w:t>
            </w:r>
            <w:r w:rsidR="003B62DD" w:rsidRPr="00EC1527">
              <w:rPr>
                <w:sz w:val="21"/>
                <w:szCs w:val="21"/>
              </w:rPr>
              <w:t xml:space="preserve">onsolidation </w:t>
            </w:r>
            <w:r w:rsidR="00A025FA" w:rsidRPr="00EC1527">
              <w:rPr>
                <w:sz w:val="21"/>
                <w:szCs w:val="21"/>
              </w:rPr>
              <w:t>used for application authentication logging only  (CWL logs captured)</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443843023"/>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Mobile applica</w:t>
            </w:r>
            <w:r w:rsidR="003B62DD" w:rsidRPr="00EC1527">
              <w:rPr>
                <w:sz w:val="21"/>
                <w:szCs w:val="21"/>
              </w:rPr>
              <w:t xml:space="preserve">tion authentication captured in </w:t>
            </w:r>
            <w:r w:rsidR="002B13F5" w:rsidRPr="00EC1527">
              <w:rPr>
                <w:sz w:val="21"/>
                <w:szCs w:val="21"/>
              </w:rPr>
              <w:t>logs</w:t>
            </w:r>
          </w:p>
          <w:p w:rsidR="003E481D"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46961287"/>
                <w14:checkbox>
                  <w14:checked w14:val="0"/>
                  <w14:checkedState w14:val="2612" w14:font="MS Gothic"/>
                  <w14:uncheckedState w14:val="2610" w14:font="MS Gothic"/>
                </w14:checkbox>
              </w:sdtPr>
              <w:sdtEndPr/>
              <w:sdtContent>
                <w:r w:rsidR="003E481D" w:rsidRPr="00EC1527">
                  <w:rPr>
                    <w:rFonts w:ascii="MS Gothic" w:eastAsia="MS Gothic" w:hAnsi="MS Gothic" w:hint="eastAsia"/>
                    <w:sz w:val="21"/>
                    <w:szCs w:val="21"/>
                  </w:rPr>
                  <w:t>☐</w:t>
                </w:r>
              </w:sdtContent>
            </w:sdt>
            <w:r w:rsidR="003E481D" w:rsidRPr="00EC1527">
              <w:rPr>
                <w:sz w:val="21"/>
                <w:szCs w:val="21"/>
              </w:rPr>
              <w:t xml:space="preserve"> Application &amp; System logs reviewed and integrated</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628776000"/>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Not applicable</w:t>
            </w:r>
          </w:p>
        </w:tc>
      </w:tr>
      <w:tr w:rsidR="00A025FA" w:rsidRPr="00EC1527" w:rsidTr="00EC36F8">
        <w:trPr>
          <w:trHeight w:val="1790"/>
        </w:trPr>
        <w:tc>
          <w:tcPr>
            <w:cnfStyle w:val="001000000000" w:firstRow="0" w:lastRow="0" w:firstColumn="1" w:lastColumn="0" w:oddVBand="0" w:evenVBand="0" w:oddHBand="0" w:evenHBand="0" w:firstRowFirstColumn="0" w:firstRowLastColumn="0" w:lastRowFirstColumn="0" w:lastRowLastColumn="0"/>
            <w:tcW w:w="328" w:type="dxa"/>
            <w:shd w:val="clear" w:color="auto" w:fill="D9E2F3" w:themeFill="accent5" w:themeFillTint="33"/>
          </w:tcPr>
          <w:p w:rsidR="00A025FA" w:rsidRPr="00EC1527" w:rsidRDefault="00A025FA" w:rsidP="00243471">
            <w:pPr>
              <w:rPr>
                <w:sz w:val="21"/>
                <w:szCs w:val="21"/>
              </w:rPr>
            </w:pPr>
            <w:r w:rsidRPr="00EC1527">
              <w:rPr>
                <w:sz w:val="21"/>
                <w:szCs w:val="21"/>
              </w:rPr>
              <w:t>3</w:t>
            </w:r>
          </w:p>
        </w:tc>
        <w:tc>
          <w:tcPr>
            <w:tcW w:w="2969" w:type="dxa"/>
            <w:shd w:val="clear" w:color="auto" w:fill="D9E2F3" w:themeFill="accent5" w:themeFillTint="33"/>
          </w:tcPr>
          <w:p w:rsidR="00A025FA" w:rsidRPr="00EC1527" w:rsidRDefault="00BF3AF0"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Data G</w:t>
            </w:r>
            <w:r w:rsidR="00A025FA" w:rsidRPr="00EC1527">
              <w:rPr>
                <w:sz w:val="21"/>
                <w:szCs w:val="21"/>
              </w:rPr>
              <w:t xml:space="preserve">overnance </w:t>
            </w:r>
            <w:r w:rsidRPr="00EC1527">
              <w:rPr>
                <w:sz w:val="21"/>
                <w:szCs w:val="21"/>
              </w:rPr>
              <w:t>&amp;</w:t>
            </w:r>
            <w:r w:rsidR="00A025FA" w:rsidRPr="00EC1527">
              <w:rPr>
                <w:sz w:val="21"/>
                <w:szCs w:val="21"/>
              </w:rPr>
              <w:t xml:space="preserve"> Integration Services </w:t>
            </w:r>
            <w:r w:rsidRPr="00EC1527">
              <w:rPr>
                <w:sz w:val="21"/>
                <w:szCs w:val="21"/>
              </w:rPr>
              <w:t>O</w:t>
            </w:r>
            <w:r w:rsidR="00A025FA" w:rsidRPr="00EC1527">
              <w:rPr>
                <w:sz w:val="21"/>
                <w:szCs w:val="21"/>
              </w:rPr>
              <w:t>ffered by the Integration Enablement Center (IEC) via EDI</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b/>
                <w:i/>
                <w:sz w:val="21"/>
                <w:szCs w:val="21"/>
                <w:u w:val="single"/>
              </w:rPr>
            </w:pPr>
            <w:r w:rsidRPr="00EC1527">
              <w:rPr>
                <w:i/>
                <w:sz w:val="21"/>
                <w:szCs w:val="21"/>
                <w:u w:val="single"/>
              </w:rPr>
              <w:t xml:space="preserve">Contact: </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b/>
                <w:sz w:val="21"/>
                <w:szCs w:val="21"/>
              </w:rPr>
            </w:pPr>
            <w:hyperlink r:id="rId10" w:history="1">
              <w:r w:rsidR="00A025FA" w:rsidRPr="00EC1527">
                <w:rPr>
                  <w:rStyle w:val="Hyperlink"/>
                  <w:sz w:val="21"/>
                  <w:szCs w:val="21"/>
                </w:rPr>
                <w:t>marcela.hernandez@ubc.ca</w:t>
              </w:r>
            </w:hyperlink>
          </w:p>
        </w:tc>
        <w:tc>
          <w:tcPr>
            <w:tcW w:w="12898" w:type="dxa"/>
            <w:shd w:val="clear" w:color="auto" w:fill="D9E2F3" w:themeFill="accent5" w:themeFillTint="33"/>
          </w:tcPr>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The new system must ensure that it meets the data definitions as per the University Data Model and assists in proper management of UBC digital information.</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The IEC enables development of secure, scalable interfaces between UBC service providers (internal and external) where the data being shared follows standard approved processes, approved by data owners and PIA requirements.</w:t>
            </w:r>
          </w:p>
        </w:tc>
        <w:tc>
          <w:tcPr>
            <w:tcW w:w="6480" w:type="dxa"/>
            <w:shd w:val="clear" w:color="auto" w:fill="D9E2F3" w:themeFill="accent5" w:themeFillTint="33"/>
          </w:tcPr>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917590339"/>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Data Governance team contacted and data definitions meet University Data Model </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503634170"/>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2B13F5" w:rsidRPr="00EC1527">
              <w:rPr>
                <w:sz w:val="21"/>
                <w:szCs w:val="21"/>
              </w:rPr>
              <w:t xml:space="preserve"> Integrations via EDI</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212312256"/>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Point-to-point integrations</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512447946"/>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Data custodian approved access and disclosure of </w:t>
            </w:r>
            <w:r w:rsidR="00BF3AF0" w:rsidRPr="00EC1527">
              <w:rPr>
                <w:sz w:val="21"/>
                <w:szCs w:val="21"/>
              </w:rPr>
              <w:t xml:space="preserve">PI </w:t>
            </w:r>
            <w:r w:rsidR="00A025FA" w:rsidRPr="00EC1527">
              <w:rPr>
                <w:sz w:val="21"/>
                <w:szCs w:val="21"/>
              </w:rPr>
              <w:t>attributes</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060404816"/>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Not applicable</w:t>
            </w:r>
          </w:p>
        </w:tc>
      </w:tr>
      <w:tr w:rsidR="00A025FA" w:rsidRPr="00EC1527" w:rsidTr="00EC36F8">
        <w:trPr>
          <w:trHeight w:val="1151"/>
        </w:trPr>
        <w:tc>
          <w:tcPr>
            <w:cnfStyle w:val="001000000000" w:firstRow="0" w:lastRow="0" w:firstColumn="1" w:lastColumn="0" w:oddVBand="0" w:evenVBand="0" w:oddHBand="0" w:evenHBand="0" w:firstRowFirstColumn="0" w:firstRowLastColumn="0" w:lastRowFirstColumn="0" w:lastRowLastColumn="0"/>
            <w:tcW w:w="328" w:type="dxa"/>
          </w:tcPr>
          <w:p w:rsidR="00A025FA" w:rsidRPr="00EC1527" w:rsidRDefault="00A025FA" w:rsidP="00243471">
            <w:pPr>
              <w:rPr>
                <w:sz w:val="21"/>
                <w:szCs w:val="21"/>
              </w:rPr>
            </w:pPr>
            <w:r w:rsidRPr="00EC1527">
              <w:rPr>
                <w:sz w:val="21"/>
                <w:szCs w:val="21"/>
              </w:rPr>
              <w:t>4</w:t>
            </w:r>
          </w:p>
        </w:tc>
        <w:tc>
          <w:tcPr>
            <w:tcW w:w="2969" w:type="dxa"/>
          </w:tcPr>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 xml:space="preserve">Source Code Analysis </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b/>
                <w:i/>
                <w:sz w:val="21"/>
                <w:szCs w:val="21"/>
                <w:u w:val="single"/>
              </w:rPr>
            </w:pPr>
            <w:r w:rsidRPr="00EC1527">
              <w:rPr>
                <w:i/>
                <w:sz w:val="21"/>
                <w:szCs w:val="21"/>
                <w:u w:val="single"/>
              </w:rPr>
              <w:t>Contact:</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rStyle w:val="Hyperlink"/>
                <w:sz w:val="21"/>
                <w:szCs w:val="21"/>
              </w:rPr>
            </w:pPr>
            <w:hyperlink r:id="rId11" w:history="1">
              <w:r w:rsidR="00236CD9" w:rsidRPr="00EC1527">
                <w:rPr>
                  <w:rStyle w:val="Hyperlink"/>
                  <w:sz w:val="21"/>
                  <w:szCs w:val="21"/>
                </w:rPr>
                <w:t>armenak.grigoryan@ubc.ca</w:t>
              </w:r>
            </w:hyperlink>
          </w:p>
          <w:p w:rsidR="00236CD9" w:rsidRPr="00EC1527" w:rsidRDefault="00236CD9" w:rsidP="00243471">
            <w:pPr>
              <w:cnfStyle w:val="000000000000" w:firstRow="0" w:lastRow="0" w:firstColumn="0" w:lastColumn="0" w:oddVBand="0" w:evenVBand="0" w:oddHBand="0" w:evenHBand="0" w:firstRowFirstColumn="0" w:firstRowLastColumn="0" w:lastRowFirstColumn="0" w:lastRowLastColumn="0"/>
              <w:rPr>
                <w:b/>
                <w:sz w:val="21"/>
                <w:szCs w:val="21"/>
              </w:rPr>
            </w:pPr>
            <w:r w:rsidRPr="00EC1527">
              <w:rPr>
                <w:rStyle w:val="Hyperlink"/>
                <w:sz w:val="21"/>
                <w:szCs w:val="21"/>
              </w:rPr>
              <w:t>aaron.heck@ubc.ca</w:t>
            </w:r>
          </w:p>
        </w:tc>
        <w:tc>
          <w:tcPr>
            <w:tcW w:w="12898" w:type="dxa"/>
          </w:tcPr>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 xml:space="preserve">Automatically reviews code of in-house developed </w:t>
            </w:r>
            <w:r w:rsidR="004D6617" w:rsidRPr="00EC1527">
              <w:rPr>
                <w:sz w:val="21"/>
                <w:szCs w:val="21"/>
              </w:rPr>
              <w:t xml:space="preserve">systems </w:t>
            </w:r>
            <w:r w:rsidR="00236CD9" w:rsidRPr="00EC1527">
              <w:rPr>
                <w:sz w:val="21"/>
                <w:szCs w:val="21"/>
              </w:rPr>
              <w:t xml:space="preserve">or other </w:t>
            </w:r>
            <w:r w:rsidRPr="00EC1527">
              <w:rPr>
                <w:sz w:val="21"/>
                <w:szCs w:val="21"/>
              </w:rPr>
              <w:t xml:space="preserve">systems </w:t>
            </w:r>
            <w:r w:rsidR="00236CD9" w:rsidRPr="00EC1527">
              <w:rPr>
                <w:sz w:val="21"/>
                <w:szCs w:val="21"/>
              </w:rPr>
              <w:t xml:space="preserve">where we have the source code </w:t>
            </w:r>
            <w:r w:rsidRPr="00EC1527">
              <w:rPr>
                <w:sz w:val="21"/>
                <w:szCs w:val="21"/>
              </w:rPr>
              <w:t>for poor coding practices, many of which could result in unintended access to systems/information.</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Assist in meeting compliance with ISS#20.</w:t>
            </w:r>
          </w:p>
        </w:tc>
        <w:tc>
          <w:tcPr>
            <w:tcW w:w="6480" w:type="dxa"/>
          </w:tcPr>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364097548"/>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Source code review scheduled prior to go-live</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54613427"/>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Ongoing schedule for </w:t>
            </w:r>
            <w:r w:rsidR="00236CD9" w:rsidRPr="00EC1527">
              <w:rPr>
                <w:sz w:val="21"/>
                <w:szCs w:val="21"/>
              </w:rPr>
              <w:t xml:space="preserve">pre-production </w:t>
            </w:r>
            <w:r w:rsidR="00A025FA" w:rsidRPr="00EC1527">
              <w:rPr>
                <w:sz w:val="21"/>
                <w:szCs w:val="21"/>
              </w:rPr>
              <w:t>code review in-place with known support resources</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723480078"/>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Not applicable</w:t>
            </w:r>
          </w:p>
        </w:tc>
      </w:tr>
      <w:tr w:rsidR="00A025FA" w:rsidRPr="00EC1527" w:rsidTr="00EC36F8">
        <w:trPr>
          <w:trHeight w:val="1196"/>
        </w:trPr>
        <w:tc>
          <w:tcPr>
            <w:cnfStyle w:val="001000000000" w:firstRow="0" w:lastRow="0" w:firstColumn="1" w:lastColumn="0" w:oddVBand="0" w:evenVBand="0" w:oddHBand="0" w:evenHBand="0" w:firstRowFirstColumn="0" w:firstRowLastColumn="0" w:lastRowFirstColumn="0" w:lastRowLastColumn="0"/>
            <w:tcW w:w="328" w:type="dxa"/>
            <w:shd w:val="clear" w:color="auto" w:fill="D9E2F3" w:themeFill="accent5" w:themeFillTint="33"/>
          </w:tcPr>
          <w:p w:rsidR="00A025FA" w:rsidRPr="00EC1527" w:rsidRDefault="00A025FA" w:rsidP="00243471">
            <w:pPr>
              <w:rPr>
                <w:sz w:val="21"/>
                <w:szCs w:val="21"/>
              </w:rPr>
            </w:pPr>
            <w:r w:rsidRPr="00EC1527">
              <w:rPr>
                <w:sz w:val="21"/>
                <w:szCs w:val="21"/>
              </w:rPr>
              <w:t>5</w:t>
            </w:r>
          </w:p>
        </w:tc>
        <w:tc>
          <w:tcPr>
            <w:tcW w:w="2969" w:type="dxa"/>
            <w:shd w:val="clear" w:color="auto" w:fill="D9E2F3" w:themeFill="accent5" w:themeFillTint="33"/>
          </w:tcPr>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Vulnerability and Web Application Scanning</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b/>
                <w:i/>
                <w:sz w:val="21"/>
                <w:szCs w:val="21"/>
                <w:u w:val="single"/>
              </w:rPr>
            </w:pPr>
            <w:r w:rsidRPr="00EC1527">
              <w:rPr>
                <w:i/>
                <w:sz w:val="21"/>
                <w:szCs w:val="21"/>
                <w:u w:val="single"/>
              </w:rPr>
              <w:t xml:space="preserve">Contact: </w:t>
            </w:r>
          </w:p>
          <w:p w:rsidR="00EC36F8"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hyperlink r:id="rId12" w:history="1">
              <w:r w:rsidR="00EC36F8" w:rsidRPr="00EC1527">
                <w:rPr>
                  <w:rStyle w:val="Hyperlink"/>
                  <w:sz w:val="21"/>
                  <w:szCs w:val="21"/>
                </w:rPr>
                <w:t>security@ubc.ca</w:t>
              </w:r>
            </w:hyperlink>
            <w:r w:rsidR="00EC36F8" w:rsidRPr="00EC1527">
              <w:rPr>
                <w:sz w:val="21"/>
                <w:szCs w:val="21"/>
              </w:rPr>
              <w:t xml:space="preserve"> </w:t>
            </w:r>
          </w:p>
        </w:tc>
        <w:tc>
          <w:tcPr>
            <w:tcW w:w="12898" w:type="dxa"/>
            <w:shd w:val="clear" w:color="auto" w:fill="D9E2F3" w:themeFill="accent5" w:themeFillTint="33"/>
          </w:tcPr>
          <w:p w:rsidR="00A025FA" w:rsidRPr="00EC1527" w:rsidRDefault="00A025FA" w:rsidP="002B13F5">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Vulnerabilities in infrastructure, middleware and applications are discovered all the time. Scans detect known vulnerabilities in software packages and detect weaknesses in applications caused by poor coding practices</w:t>
            </w:r>
            <w:r w:rsidR="00236CD9" w:rsidRPr="00EC1527">
              <w:rPr>
                <w:sz w:val="21"/>
                <w:szCs w:val="21"/>
              </w:rPr>
              <w:t xml:space="preserve"> &amp; system administration</w:t>
            </w:r>
            <w:r w:rsidRPr="00EC1527">
              <w:rPr>
                <w:sz w:val="21"/>
                <w:szCs w:val="21"/>
              </w:rPr>
              <w:t>.</w:t>
            </w:r>
          </w:p>
        </w:tc>
        <w:tc>
          <w:tcPr>
            <w:tcW w:w="6480" w:type="dxa"/>
            <w:shd w:val="clear" w:color="auto" w:fill="D9E2F3" w:themeFill="accent5" w:themeFillTint="33"/>
          </w:tcPr>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426004713"/>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Vulnerability and application scanning scheduled or performed</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144860461"/>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Ongoing responsibility for receipt, interpretation and remediation of findings allocated</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881317915"/>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Not applicable</w:t>
            </w:r>
          </w:p>
        </w:tc>
      </w:tr>
      <w:tr w:rsidR="00A025FA" w:rsidRPr="00EC1527" w:rsidTr="00EC36F8">
        <w:trPr>
          <w:trHeight w:val="890"/>
        </w:trPr>
        <w:tc>
          <w:tcPr>
            <w:cnfStyle w:val="001000000000" w:firstRow="0" w:lastRow="0" w:firstColumn="1" w:lastColumn="0" w:oddVBand="0" w:evenVBand="0" w:oddHBand="0" w:evenHBand="0" w:firstRowFirstColumn="0" w:firstRowLastColumn="0" w:lastRowFirstColumn="0" w:lastRowLastColumn="0"/>
            <w:tcW w:w="328" w:type="dxa"/>
          </w:tcPr>
          <w:p w:rsidR="00A025FA" w:rsidRPr="00EC1527" w:rsidRDefault="00A025FA" w:rsidP="00243471">
            <w:pPr>
              <w:rPr>
                <w:sz w:val="21"/>
                <w:szCs w:val="21"/>
              </w:rPr>
            </w:pPr>
            <w:r w:rsidRPr="00EC1527">
              <w:rPr>
                <w:sz w:val="21"/>
                <w:szCs w:val="21"/>
              </w:rPr>
              <w:t>6</w:t>
            </w:r>
          </w:p>
        </w:tc>
        <w:tc>
          <w:tcPr>
            <w:tcW w:w="2969" w:type="dxa"/>
          </w:tcPr>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Cloud Vendor Scorecards</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b/>
                <w:i/>
                <w:sz w:val="21"/>
                <w:szCs w:val="21"/>
                <w:u w:val="single"/>
              </w:rPr>
            </w:pPr>
            <w:r w:rsidRPr="00EC1527">
              <w:rPr>
                <w:i/>
                <w:sz w:val="21"/>
                <w:szCs w:val="21"/>
                <w:u w:val="single"/>
              </w:rPr>
              <w:t>Contact:</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rStyle w:val="Hyperlink"/>
                <w:sz w:val="21"/>
                <w:szCs w:val="21"/>
              </w:rPr>
              <w:t>pia.process@ubc.ca</w:t>
            </w:r>
          </w:p>
        </w:tc>
        <w:tc>
          <w:tcPr>
            <w:tcW w:w="12898" w:type="dxa"/>
          </w:tcPr>
          <w:p w:rsidR="00A025FA" w:rsidRPr="00EC1527" w:rsidRDefault="002B13F5"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Cloud vendor scorecard</w:t>
            </w:r>
            <w:r w:rsidR="00A025FA" w:rsidRPr="00EC1527">
              <w:rPr>
                <w:sz w:val="21"/>
                <w:szCs w:val="21"/>
              </w:rPr>
              <w:t xml:space="preserve"> provides 'outside-in' report card of the security risk posture of an organization. </w:t>
            </w:r>
            <w:r w:rsidRPr="00EC1527">
              <w:rPr>
                <w:sz w:val="21"/>
                <w:szCs w:val="21"/>
              </w:rPr>
              <w:t>The scorecard</w:t>
            </w:r>
            <w:r w:rsidR="00A025FA" w:rsidRPr="00EC1527">
              <w:rPr>
                <w:sz w:val="21"/>
                <w:szCs w:val="21"/>
              </w:rPr>
              <w:t xml:space="preserve"> continuously gathers security intelligence data and instantly grades companies from A to F across ten crucial security categories.</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p>
        </w:tc>
        <w:tc>
          <w:tcPr>
            <w:tcW w:w="6480" w:type="dxa"/>
          </w:tcPr>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47611966"/>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w:t>
            </w:r>
            <w:r w:rsidR="002B13F5" w:rsidRPr="00EC1527">
              <w:rPr>
                <w:sz w:val="21"/>
                <w:szCs w:val="21"/>
              </w:rPr>
              <w:t xml:space="preserve">Cloud vendor </w:t>
            </w:r>
            <w:r w:rsidR="00A025FA" w:rsidRPr="00EC1527">
              <w:rPr>
                <w:sz w:val="21"/>
                <w:szCs w:val="21"/>
              </w:rPr>
              <w:t>report reviewed prior to procurement</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2080890263"/>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w:t>
            </w:r>
            <w:r w:rsidR="002B13F5" w:rsidRPr="00EC1527">
              <w:rPr>
                <w:sz w:val="21"/>
                <w:szCs w:val="21"/>
              </w:rPr>
              <w:t>Cloud vendor</w:t>
            </w:r>
            <w:r w:rsidR="00A025FA" w:rsidRPr="00EC1527">
              <w:rPr>
                <w:sz w:val="21"/>
                <w:szCs w:val="21"/>
              </w:rPr>
              <w:t xml:space="preserve"> continuous monitoring required</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388069218"/>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Not applicable</w:t>
            </w:r>
          </w:p>
        </w:tc>
      </w:tr>
      <w:tr w:rsidR="00A025FA" w:rsidRPr="00EC1527" w:rsidTr="008909B7">
        <w:trPr>
          <w:trHeight w:val="220"/>
        </w:trPr>
        <w:tc>
          <w:tcPr>
            <w:cnfStyle w:val="001000000000" w:firstRow="0" w:lastRow="0" w:firstColumn="1" w:lastColumn="0" w:oddVBand="0" w:evenVBand="0" w:oddHBand="0" w:evenHBand="0" w:firstRowFirstColumn="0" w:firstRowLastColumn="0" w:lastRowFirstColumn="0" w:lastRowLastColumn="0"/>
            <w:tcW w:w="328" w:type="dxa"/>
            <w:shd w:val="clear" w:color="auto" w:fill="D9E2F3" w:themeFill="accent5" w:themeFillTint="33"/>
          </w:tcPr>
          <w:p w:rsidR="00A025FA" w:rsidRPr="00EC1527" w:rsidRDefault="00A025FA" w:rsidP="00243471">
            <w:pPr>
              <w:rPr>
                <w:sz w:val="21"/>
                <w:szCs w:val="21"/>
              </w:rPr>
            </w:pPr>
            <w:r w:rsidRPr="00EC1527">
              <w:rPr>
                <w:sz w:val="21"/>
                <w:szCs w:val="21"/>
              </w:rPr>
              <w:t>7</w:t>
            </w:r>
          </w:p>
        </w:tc>
        <w:tc>
          <w:tcPr>
            <w:tcW w:w="2969" w:type="dxa"/>
            <w:shd w:val="clear" w:color="auto" w:fill="D9E2F3" w:themeFill="accent5" w:themeFillTint="33"/>
          </w:tcPr>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Payment Card Industry (PCI) Integration</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i/>
                <w:sz w:val="21"/>
                <w:szCs w:val="21"/>
                <w:u w:val="single"/>
              </w:rPr>
              <w:t>Contact:</w:t>
            </w:r>
          </w:p>
          <w:p w:rsidR="00A025FA" w:rsidRPr="00EC1527" w:rsidRDefault="0000229B" w:rsidP="00EC36F8">
            <w:pPr>
              <w:cnfStyle w:val="000000000000" w:firstRow="0" w:lastRow="0" w:firstColumn="0" w:lastColumn="0" w:oddVBand="0" w:evenVBand="0" w:oddHBand="0" w:evenHBand="0" w:firstRowFirstColumn="0" w:firstRowLastColumn="0" w:lastRowFirstColumn="0" w:lastRowLastColumn="0"/>
              <w:rPr>
                <w:sz w:val="21"/>
                <w:szCs w:val="21"/>
              </w:rPr>
            </w:pPr>
            <w:hyperlink r:id="rId13" w:history="1">
              <w:r w:rsidR="00A025FA" w:rsidRPr="00EC1527">
                <w:rPr>
                  <w:rStyle w:val="Hyperlink"/>
                  <w:sz w:val="21"/>
                  <w:szCs w:val="21"/>
                </w:rPr>
                <w:t>raul.ramos@ubc.ca</w:t>
              </w:r>
            </w:hyperlink>
          </w:p>
        </w:tc>
        <w:tc>
          <w:tcPr>
            <w:tcW w:w="12898" w:type="dxa"/>
            <w:shd w:val="clear" w:color="auto" w:fill="D9E2F3" w:themeFill="accent5" w:themeFillTint="33"/>
          </w:tcPr>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All UBC payment card merchants that store, process, or transmit Card Holder Data (CHD) as payments to UBC and / or operate Point of Sale (PoS) systems and devices must comply with PCI Data Security Standards (DSS).</w:t>
            </w:r>
          </w:p>
        </w:tc>
        <w:tc>
          <w:tcPr>
            <w:tcW w:w="6480" w:type="dxa"/>
            <w:shd w:val="clear" w:color="auto" w:fill="D9E2F3" w:themeFill="accent5" w:themeFillTint="33"/>
          </w:tcPr>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412005405"/>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236CD9" w:rsidRPr="00EC1527">
              <w:rPr>
                <w:sz w:val="21"/>
                <w:szCs w:val="21"/>
              </w:rPr>
              <w:t xml:space="preserve"> PCI c</w:t>
            </w:r>
            <w:r w:rsidR="00A025FA" w:rsidRPr="00EC1527">
              <w:rPr>
                <w:sz w:val="21"/>
                <w:szCs w:val="21"/>
              </w:rPr>
              <w:t>ompliance required</w:t>
            </w:r>
          </w:p>
          <w:p w:rsidR="00236CD9" w:rsidRPr="00EC1527" w:rsidRDefault="0000229B" w:rsidP="00236CD9">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871369579"/>
                <w14:checkbox>
                  <w14:checked w14:val="0"/>
                  <w14:checkedState w14:val="2612" w14:font="MS Gothic"/>
                  <w14:uncheckedState w14:val="2610" w14:font="MS Gothic"/>
                </w14:checkbox>
              </w:sdtPr>
              <w:sdtEndPr/>
              <w:sdtContent>
                <w:r w:rsidR="00236CD9" w:rsidRPr="00EC1527">
                  <w:rPr>
                    <w:rFonts w:ascii="MS Gothic" w:eastAsia="MS Gothic" w:hAnsi="MS Gothic" w:hint="eastAsia"/>
                    <w:sz w:val="21"/>
                    <w:szCs w:val="21"/>
                  </w:rPr>
                  <w:t>☐</w:t>
                </w:r>
              </w:sdtContent>
            </w:sdt>
            <w:r w:rsidR="00236CD9" w:rsidRPr="00EC1527">
              <w:rPr>
                <w:sz w:val="21"/>
                <w:szCs w:val="21"/>
              </w:rPr>
              <w:t xml:space="preserve"> PCI compliant</w:t>
            </w:r>
          </w:p>
          <w:p w:rsidR="00A025FA"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459566580"/>
                <w14:checkbox>
                  <w14:checked w14:val="0"/>
                  <w14:checkedState w14:val="2612" w14:font="MS Gothic"/>
                  <w14:uncheckedState w14:val="2610" w14:font="MS Gothic"/>
                </w14:checkbox>
              </w:sdtPr>
              <w:sdtEndPr/>
              <w:sdtContent>
                <w:r w:rsidR="00A025FA" w:rsidRPr="00EC1527">
                  <w:rPr>
                    <w:rFonts w:ascii="MS Gothic" w:eastAsia="MS Gothic" w:hAnsi="MS Gothic" w:hint="eastAsia"/>
                    <w:sz w:val="21"/>
                    <w:szCs w:val="21"/>
                  </w:rPr>
                  <w:t>☐</w:t>
                </w:r>
              </w:sdtContent>
            </w:sdt>
            <w:r w:rsidR="00A025FA" w:rsidRPr="00EC1527">
              <w:rPr>
                <w:sz w:val="21"/>
                <w:szCs w:val="21"/>
              </w:rPr>
              <w:t xml:space="preserve"> Not applicable</w:t>
            </w:r>
          </w:p>
          <w:p w:rsidR="00A025FA" w:rsidRPr="00EC1527" w:rsidRDefault="00A025FA" w:rsidP="00243471">
            <w:pPr>
              <w:cnfStyle w:val="000000000000" w:firstRow="0" w:lastRow="0" w:firstColumn="0" w:lastColumn="0" w:oddVBand="0" w:evenVBand="0" w:oddHBand="0" w:evenHBand="0" w:firstRowFirstColumn="0" w:firstRowLastColumn="0" w:lastRowFirstColumn="0" w:lastRowLastColumn="0"/>
              <w:rPr>
                <w:rFonts w:ascii="MS Gothic" w:eastAsia="MS Gothic" w:hAnsi="MS Gothic"/>
                <w:sz w:val="21"/>
                <w:szCs w:val="21"/>
              </w:rPr>
            </w:pPr>
          </w:p>
        </w:tc>
      </w:tr>
      <w:tr w:rsidR="00EC36F8" w:rsidRPr="00EC1527" w:rsidTr="00EC1527">
        <w:trPr>
          <w:trHeight w:val="1124"/>
        </w:trPr>
        <w:tc>
          <w:tcPr>
            <w:cnfStyle w:val="001000000000" w:firstRow="0" w:lastRow="0" w:firstColumn="1" w:lastColumn="0" w:oddVBand="0" w:evenVBand="0" w:oddHBand="0" w:evenHBand="0" w:firstRowFirstColumn="0" w:firstRowLastColumn="0" w:lastRowFirstColumn="0" w:lastRowLastColumn="0"/>
            <w:tcW w:w="328" w:type="dxa"/>
          </w:tcPr>
          <w:p w:rsidR="00EC36F8" w:rsidRPr="00EC1527" w:rsidRDefault="00EC36F8" w:rsidP="00243471">
            <w:pPr>
              <w:rPr>
                <w:sz w:val="21"/>
                <w:szCs w:val="21"/>
              </w:rPr>
            </w:pPr>
            <w:r w:rsidRPr="00EC1527">
              <w:rPr>
                <w:sz w:val="21"/>
                <w:szCs w:val="21"/>
              </w:rPr>
              <w:t>8</w:t>
            </w:r>
          </w:p>
        </w:tc>
        <w:tc>
          <w:tcPr>
            <w:tcW w:w="2969" w:type="dxa"/>
          </w:tcPr>
          <w:p w:rsidR="00EC36F8" w:rsidRPr="00EC1527" w:rsidRDefault="00EC1527"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 xml:space="preserve">Data Discovery </w:t>
            </w:r>
            <w:r w:rsidR="00545ED1">
              <w:rPr>
                <w:sz w:val="21"/>
                <w:szCs w:val="21"/>
              </w:rPr>
              <w:t xml:space="preserve">&amp; </w:t>
            </w:r>
            <w:r w:rsidRPr="00EC1527">
              <w:rPr>
                <w:sz w:val="21"/>
                <w:szCs w:val="21"/>
              </w:rPr>
              <w:t>Anonymization</w:t>
            </w:r>
          </w:p>
          <w:p w:rsidR="00EC36F8" w:rsidRPr="00EC1527" w:rsidRDefault="00EC36F8" w:rsidP="00243471">
            <w:pPr>
              <w:cnfStyle w:val="000000000000" w:firstRow="0" w:lastRow="0" w:firstColumn="0" w:lastColumn="0" w:oddVBand="0" w:evenVBand="0" w:oddHBand="0" w:evenHBand="0" w:firstRowFirstColumn="0" w:firstRowLastColumn="0" w:lastRowFirstColumn="0" w:lastRowLastColumn="0"/>
              <w:rPr>
                <w:i/>
                <w:sz w:val="21"/>
                <w:szCs w:val="21"/>
                <w:u w:val="single"/>
              </w:rPr>
            </w:pPr>
            <w:r w:rsidRPr="00EC1527">
              <w:rPr>
                <w:i/>
                <w:sz w:val="21"/>
                <w:szCs w:val="21"/>
                <w:u w:val="single"/>
              </w:rPr>
              <w:t>Contact:</w:t>
            </w:r>
          </w:p>
          <w:p w:rsidR="00EC36F8" w:rsidRPr="00EC1527" w:rsidRDefault="00EC36F8" w:rsidP="00243471">
            <w:pPr>
              <w:cnfStyle w:val="000000000000" w:firstRow="0" w:lastRow="0" w:firstColumn="0" w:lastColumn="0" w:oddVBand="0" w:evenVBand="0" w:oddHBand="0" w:evenHBand="0" w:firstRowFirstColumn="0" w:firstRowLastColumn="0" w:lastRowFirstColumn="0" w:lastRowLastColumn="0"/>
              <w:rPr>
                <w:sz w:val="21"/>
                <w:szCs w:val="21"/>
              </w:rPr>
            </w:pPr>
            <w:r w:rsidRPr="00EC1527">
              <w:rPr>
                <w:rStyle w:val="Hyperlink"/>
                <w:sz w:val="21"/>
                <w:szCs w:val="21"/>
              </w:rPr>
              <w:t>armenak.grigoryan@ubc.ca</w:t>
            </w:r>
          </w:p>
        </w:tc>
        <w:tc>
          <w:tcPr>
            <w:tcW w:w="12898" w:type="dxa"/>
          </w:tcPr>
          <w:p w:rsidR="00EC36F8" w:rsidRPr="00EC1527" w:rsidRDefault="00EC36F8" w:rsidP="00236CD9">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UBC service to anonymize personal information with ident</w:t>
            </w:r>
            <w:r w:rsidR="00514A68" w:rsidRPr="00EC1527">
              <w:rPr>
                <w:sz w:val="21"/>
                <w:szCs w:val="21"/>
              </w:rPr>
              <w:t xml:space="preserve">ifiers to mask such information and to ensure that personal information is not unnecessarily </w:t>
            </w:r>
            <w:r w:rsidR="007C7D96" w:rsidRPr="00EC1527">
              <w:rPr>
                <w:sz w:val="21"/>
                <w:szCs w:val="21"/>
              </w:rPr>
              <w:t>stored</w:t>
            </w:r>
            <w:r w:rsidR="00BF3AF0" w:rsidRPr="00EC1527">
              <w:rPr>
                <w:sz w:val="21"/>
                <w:szCs w:val="21"/>
              </w:rPr>
              <w:t xml:space="preserve"> in </w:t>
            </w:r>
            <w:r w:rsidR="00236CD9" w:rsidRPr="00EC1527">
              <w:rPr>
                <w:sz w:val="21"/>
                <w:szCs w:val="21"/>
              </w:rPr>
              <w:t>non-production</w:t>
            </w:r>
            <w:r w:rsidR="00BF3AF0" w:rsidRPr="00EC1527">
              <w:rPr>
                <w:sz w:val="21"/>
                <w:szCs w:val="21"/>
              </w:rPr>
              <w:t xml:space="preserve"> environments.</w:t>
            </w:r>
          </w:p>
        </w:tc>
        <w:tc>
          <w:tcPr>
            <w:tcW w:w="6480" w:type="dxa"/>
          </w:tcPr>
          <w:p w:rsidR="00EC36F8" w:rsidRPr="00EC1527" w:rsidRDefault="0000229B" w:rsidP="00EC36F8">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283036461"/>
                <w14:checkbox>
                  <w14:checked w14:val="0"/>
                  <w14:checkedState w14:val="2612" w14:font="MS Gothic"/>
                  <w14:uncheckedState w14:val="2610" w14:font="MS Gothic"/>
                </w14:checkbox>
              </w:sdtPr>
              <w:sdtEndPr/>
              <w:sdtContent>
                <w:r w:rsidR="00EC36F8" w:rsidRPr="00EC1527">
                  <w:rPr>
                    <w:rFonts w:ascii="MS Gothic" w:eastAsia="MS Gothic" w:hAnsi="MS Gothic" w:hint="eastAsia"/>
                    <w:sz w:val="21"/>
                    <w:szCs w:val="21"/>
                  </w:rPr>
                  <w:t>☐</w:t>
                </w:r>
              </w:sdtContent>
            </w:sdt>
            <w:r w:rsidR="00EC36F8" w:rsidRPr="00EC1527">
              <w:rPr>
                <w:sz w:val="21"/>
                <w:szCs w:val="21"/>
              </w:rPr>
              <w:t xml:space="preserve"> Consult on data anonymization service for feasibility</w:t>
            </w:r>
          </w:p>
          <w:p w:rsidR="00EC36F8" w:rsidRPr="00EC1527" w:rsidRDefault="0000229B" w:rsidP="00243471">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954175986"/>
                <w14:checkbox>
                  <w14:checked w14:val="0"/>
                  <w14:checkedState w14:val="2612" w14:font="MS Gothic"/>
                  <w14:uncheckedState w14:val="2610" w14:font="MS Gothic"/>
                </w14:checkbox>
              </w:sdtPr>
              <w:sdtEndPr/>
              <w:sdtContent>
                <w:r w:rsidR="00EC36F8" w:rsidRPr="00EC1527">
                  <w:rPr>
                    <w:rFonts w:ascii="MS Gothic" w:eastAsia="MS Gothic" w:hAnsi="MS Gothic" w:hint="eastAsia"/>
                    <w:sz w:val="21"/>
                    <w:szCs w:val="21"/>
                  </w:rPr>
                  <w:t>☐</w:t>
                </w:r>
              </w:sdtContent>
            </w:sdt>
            <w:r w:rsidR="00EC36F8" w:rsidRPr="00EC1527">
              <w:rPr>
                <w:sz w:val="21"/>
                <w:szCs w:val="21"/>
              </w:rPr>
              <w:t xml:space="preserve"> Not applicable</w:t>
            </w:r>
          </w:p>
        </w:tc>
      </w:tr>
      <w:tr w:rsidR="00EC36F8" w:rsidRPr="00EC1527" w:rsidTr="00EC1527">
        <w:trPr>
          <w:trHeight w:val="989"/>
        </w:trPr>
        <w:tc>
          <w:tcPr>
            <w:cnfStyle w:val="001000000000" w:firstRow="0" w:lastRow="0" w:firstColumn="1" w:lastColumn="0" w:oddVBand="0" w:evenVBand="0" w:oddHBand="0" w:evenHBand="0" w:firstRowFirstColumn="0" w:firstRowLastColumn="0" w:lastRowFirstColumn="0" w:lastRowLastColumn="0"/>
            <w:tcW w:w="328" w:type="dxa"/>
            <w:shd w:val="clear" w:color="auto" w:fill="D9E2F3" w:themeFill="accent5" w:themeFillTint="33"/>
          </w:tcPr>
          <w:p w:rsidR="00EC36F8" w:rsidRPr="00EC1527" w:rsidRDefault="00EC36F8" w:rsidP="00EC36F8">
            <w:pPr>
              <w:rPr>
                <w:sz w:val="21"/>
                <w:szCs w:val="21"/>
              </w:rPr>
            </w:pPr>
            <w:r w:rsidRPr="00EC1527">
              <w:rPr>
                <w:sz w:val="21"/>
                <w:szCs w:val="21"/>
              </w:rPr>
              <w:t>9</w:t>
            </w:r>
          </w:p>
        </w:tc>
        <w:tc>
          <w:tcPr>
            <w:tcW w:w="2969" w:type="dxa"/>
            <w:shd w:val="clear" w:color="auto" w:fill="D9E2F3" w:themeFill="accent5" w:themeFillTint="33"/>
          </w:tcPr>
          <w:p w:rsidR="00EC36F8" w:rsidRPr="00EC1527" w:rsidRDefault="00EC36F8" w:rsidP="00EC36F8">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 xml:space="preserve">Web </w:t>
            </w:r>
            <w:r w:rsidR="00BF3AF0" w:rsidRPr="00EC1527">
              <w:rPr>
                <w:sz w:val="21"/>
                <w:szCs w:val="21"/>
              </w:rPr>
              <w:t>A</w:t>
            </w:r>
            <w:r w:rsidRPr="00EC1527">
              <w:rPr>
                <w:sz w:val="21"/>
                <w:szCs w:val="21"/>
              </w:rPr>
              <w:t xml:space="preserve">pplication </w:t>
            </w:r>
            <w:r w:rsidR="00BF3AF0" w:rsidRPr="00EC1527">
              <w:rPr>
                <w:sz w:val="21"/>
                <w:szCs w:val="21"/>
              </w:rPr>
              <w:t>F</w:t>
            </w:r>
            <w:r w:rsidRPr="00EC1527">
              <w:rPr>
                <w:sz w:val="21"/>
                <w:szCs w:val="21"/>
              </w:rPr>
              <w:t>irewall</w:t>
            </w:r>
          </w:p>
          <w:p w:rsidR="00EC36F8" w:rsidRPr="00EC1527" w:rsidRDefault="00EC36F8" w:rsidP="00EC36F8">
            <w:pPr>
              <w:cnfStyle w:val="000000000000" w:firstRow="0" w:lastRow="0" w:firstColumn="0" w:lastColumn="0" w:oddVBand="0" w:evenVBand="0" w:oddHBand="0" w:evenHBand="0" w:firstRowFirstColumn="0" w:firstRowLastColumn="0" w:lastRowFirstColumn="0" w:lastRowLastColumn="0"/>
              <w:rPr>
                <w:sz w:val="21"/>
                <w:szCs w:val="21"/>
              </w:rPr>
            </w:pPr>
            <w:r w:rsidRPr="00EC1527">
              <w:rPr>
                <w:i/>
                <w:sz w:val="21"/>
                <w:szCs w:val="21"/>
                <w:u w:val="single"/>
              </w:rPr>
              <w:t>Contact:</w:t>
            </w:r>
          </w:p>
          <w:p w:rsidR="00EC36F8" w:rsidRPr="00EC1527" w:rsidRDefault="0000229B" w:rsidP="00EC36F8">
            <w:pPr>
              <w:cnfStyle w:val="000000000000" w:firstRow="0" w:lastRow="0" w:firstColumn="0" w:lastColumn="0" w:oddVBand="0" w:evenVBand="0" w:oddHBand="0" w:evenHBand="0" w:firstRowFirstColumn="0" w:firstRowLastColumn="0" w:lastRowFirstColumn="0" w:lastRowLastColumn="0"/>
              <w:rPr>
                <w:sz w:val="21"/>
                <w:szCs w:val="21"/>
              </w:rPr>
            </w:pPr>
            <w:hyperlink r:id="rId14" w:history="1">
              <w:r w:rsidR="00EC36F8" w:rsidRPr="00EC1527">
                <w:rPr>
                  <w:rStyle w:val="Hyperlink"/>
                  <w:sz w:val="21"/>
                  <w:szCs w:val="21"/>
                </w:rPr>
                <w:t>aaron.heck@ubc.ca</w:t>
              </w:r>
            </w:hyperlink>
          </w:p>
          <w:p w:rsidR="00EC36F8" w:rsidRPr="00EC1527" w:rsidRDefault="0000229B" w:rsidP="00EC36F8">
            <w:pPr>
              <w:cnfStyle w:val="000000000000" w:firstRow="0" w:lastRow="0" w:firstColumn="0" w:lastColumn="0" w:oddVBand="0" w:evenVBand="0" w:oddHBand="0" w:evenHBand="0" w:firstRowFirstColumn="0" w:firstRowLastColumn="0" w:lastRowFirstColumn="0" w:lastRowLastColumn="0"/>
              <w:rPr>
                <w:sz w:val="21"/>
                <w:szCs w:val="21"/>
              </w:rPr>
            </w:pPr>
            <w:hyperlink r:id="rId15" w:history="1">
              <w:r w:rsidR="00EC36F8" w:rsidRPr="00EC1527">
                <w:rPr>
                  <w:rStyle w:val="Hyperlink"/>
                  <w:sz w:val="21"/>
                  <w:szCs w:val="21"/>
                </w:rPr>
                <w:t>security@ubc.ca</w:t>
              </w:r>
            </w:hyperlink>
            <w:r w:rsidR="00EC36F8" w:rsidRPr="00EC1527">
              <w:rPr>
                <w:sz w:val="21"/>
                <w:szCs w:val="21"/>
              </w:rPr>
              <w:t xml:space="preserve"> </w:t>
            </w:r>
          </w:p>
        </w:tc>
        <w:tc>
          <w:tcPr>
            <w:tcW w:w="12898" w:type="dxa"/>
            <w:shd w:val="clear" w:color="auto" w:fill="D9E2F3" w:themeFill="accent5" w:themeFillTint="33"/>
          </w:tcPr>
          <w:p w:rsidR="00EC36F8" w:rsidRPr="00EC1527" w:rsidRDefault="00EC36F8" w:rsidP="00B04ADE">
            <w:pPr>
              <w:cnfStyle w:val="000000000000" w:firstRow="0" w:lastRow="0" w:firstColumn="0" w:lastColumn="0" w:oddVBand="0" w:evenVBand="0" w:oddHBand="0" w:evenHBand="0" w:firstRowFirstColumn="0" w:firstRowLastColumn="0" w:lastRowFirstColumn="0" w:lastRowLastColumn="0"/>
              <w:rPr>
                <w:sz w:val="21"/>
                <w:szCs w:val="21"/>
              </w:rPr>
            </w:pPr>
            <w:r w:rsidRPr="00EC1527">
              <w:rPr>
                <w:sz w:val="21"/>
                <w:szCs w:val="21"/>
              </w:rPr>
              <w:t xml:space="preserve">Application layer protection on </w:t>
            </w:r>
            <w:r w:rsidR="00B04ADE" w:rsidRPr="00EC1527">
              <w:rPr>
                <w:sz w:val="21"/>
                <w:szCs w:val="21"/>
              </w:rPr>
              <w:t>potential</w:t>
            </w:r>
            <w:r w:rsidRPr="00EC1527">
              <w:rPr>
                <w:sz w:val="21"/>
                <w:szCs w:val="21"/>
              </w:rPr>
              <w:t xml:space="preserve"> </w:t>
            </w:r>
            <w:r w:rsidR="00B04ADE" w:rsidRPr="00EC1527">
              <w:rPr>
                <w:sz w:val="21"/>
                <w:szCs w:val="21"/>
              </w:rPr>
              <w:t xml:space="preserve">security </w:t>
            </w:r>
            <w:r w:rsidRPr="00EC1527">
              <w:rPr>
                <w:sz w:val="21"/>
                <w:szCs w:val="21"/>
              </w:rPr>
              <w:t>vulnerabilities must be considered prior to implementation. This service is currently only applicable to on premise solutions.</w:t>
            </w:r>
          </w:p>
        </w:tc>
        <w:tc>
          <w:tcPr>
            <w:tcW w:w="6480" w:type="dxa"/>
            <w:shd w:val="clear" w:color="auto" w:fill="D9E2F3" w:themeFill="accent5" w:themeFillTint="33"/>
          </w:tcPr>
          <w:p w:rsidR="00EC36F8" w:rsidRPr="00EC1527" w:rsidRDefault="0000229B" w:rsidP="00EC36F8">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512563478"/>
                <w14:checkbox>
                  <w14:checked w14:val="0"/>
                  <w14:checkedState w14:val="2612" w14:font="MS Gothic"/>
                  <w14:uncheckedState w14:val="2610" w14:font="MS Gothic"/>
                </w14:checkbox>
              </w:sdtPr>
              <w:sdtEndPr/>
              <w:sdtContent>
                <w:r w:rsidR="00EC36F8" w:rsidRPr="00EC1527">
                  <w:rPr>
                    <w:rFonts w:ascii="MS Gothic" w:eastAsia="MS Gothic" w:hAnsi="MS Gothic" w:hint="eastAsia"/>
                    <w:sz w:val="21"/>
                    <w:szCs w:val="21"/>
                  </w:rPr>
                  <w:t>☐</w:t>
                </w:r>
              </w:sdtContent>
            </w:sdt>
            <w:r w:rsidR="00EC36F8" w:rsidRPr="00EC1527">
              <w:rPr>
                <w:sz w:val="21"/>
                <w:szCs w:val="21"/>
              </w:rPr>
              <w:t xml:space="preserve"> </w:t>
            </w:r>
            <w:r w:rsidR="00514A68" w:rsidRPr="00EC1527">
              <w:rPr>
                <w:sz w:val="21"/>
                <w:szCs w:val="21"/>
              </w:rPr>
              <w:t>Web application firewall implemented</w:t>
            </w:r>
          </w:p>
          <w:p w:rsidR="00EC36F8" w:rsidRPr="00EC1527" w:rsidRDefault="0000229B" w:rsidP="00EC36F8">
            <w:pPr>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514189526"/>
                <w14:checkbox>
                  <w14:checked w14:val="0"/>
                  <w14:checkedState w14:val="2612" w14:font="MS Gothic"/>
                  <w14:uncheckedState w14:val="2610" w14:font="MS Gothic"/>
                </w14:checkbox>
              </w:sdtPr>
              <w:sdtEndPr/>
              <w:sdtContent>
                <w:r w:rsidR="00EC36F8" w:rsidRPr="00EC1527">
                  <w:rPr>
                    <w:rFonts w:ascii="MS Gothic" w:eastAsia="MS Gothic" w:hAnsi="MS Gothic" w:hint="eastAsia"/>
                    <w:sz w:val="21"/>
                    <w:szCs w:val="21"/>
                  </w:rPr>
                  <w:t>☐</w:t>
                </w:r>
              </w:sdtContent>
            </w:sdt>
            <w:r w:rsidR="00EC36F8" w:rsidRPr="00EC1527">
              <w:rPr>
                <w:sz w:val="21"/>
                <w:szCs w:val="21"/>
              </w:rPr>
              <w:t xml:space="preserve"> Not applicable</w:t>
            </w:r>
          </w:p>
        </w:tc>
      </w:tr>
    </w:tbl>
    <w:p w:rsidR="0010614D" w:rsidRDefault="0010614D" w:rsidP="00EC1527">
      <w:pPr>
        <w:tabs>
          <w:tab w:val="left" w:pos="21912"/>
        </w:tabs>
      </w:pPr>
    </w:p>
    <w:sectPr w:rsidR="0010614D" w:rsidSect="003B25B6">
      <w:headerReference w:type="default" r:id="rId16"/>
      <w:footerReference w:type="default" r:id="rId17"/>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19" w:rsidRDefault="009F7119" w:rsidP="00030096">
      <w:pPr>
        <w:spacing w:after="0" w:line="240" w:lineRule="auto"/>
      </w:pPr>
      <w:r>
        <w:separator/>
      </w:r>
    </w:p>
  </w:endnote>
  <w:endnote w:type="continuationSeparator" w:id="0">
    <w:p w:rsidR="009F7119" w:rsidRDefault="009F7119" w:rsidP="0003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F8" w:rsidRDefault="00EC36F8">
    <w:pPr>
      <w:pStyle w:val="Footer"/>
    </w:pPr>
    <w:r>
      <w:t xml:space="preserve">Consultation with UBC Cybersecurity must be obtained to ensure overall adequacy of security solutions to be implemented. </w:t>
    </w:r>
    <w:r w:rsidR="00236CD9">
      <w:t xml:space="preserve">Please forward the completed checklist </w:t>
    </w:r>
    <w:r>
      <w:t>to the PIA Team (</w:t>
    </w:r>
    <w:hyperlink r:id="rId1" w:history="1">
      <w:r w:rsidRPr="00DD75A8">
        <w:rPr>
          <w:rStyle w:val="Hyperlink"/>
        </w:rPr>
        <w:t>pia.process@ubc.ca</w:t>
      </w:r>
    </w:hyperlink>
    <w:r w:rsidR="00236CD9">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19" w:rsidRDefault="009F7119" w:rsidP="00030096">
      <w:pPr>
        <w:spacing w:after="0" w:line="240" w:lineRule="auto"/>
      </w:pPr>
      <w:r>
        <w:separator/>
      </w:r>
    </w:p>
  </w:footnote>
  <w:footnote w:type="continuationSeparator" w:id="0">
    <w:p w:rsidR="009F7119" w:rsidRDefault="009F7119" w:rsidP="00030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96" w:rsidRPr="00EC1527" w:rsidRDefault="002F1B21">
    <w:pPr>
      <w:pStyle w:val="Header"/>
      <w:rPr>
        <w:b/>
        <w:color w:val="0070C0"/>
        <w:sz w:val="28"/>
        <w:szCs w:val="28"/>
      </w:rPr>
    </w:pPr>
    <w:r w:rsidRPr="00EC1527">
      <w:rPr>
        <w:b/>
        <w:color w:val="0070C0"/>
        <w:sz w:val="28"/>
        <w:szCs w:val="28"/>
      </w:rPr>
      <w:t>Privacy /</w:t>
    </w:r>
    <w:r w:rsidR="001D1932" w:rsidRPr="00EC1527">
      <w:rPr>
        <w:b/>
        <w:color w:val="0070C0"/>
        <w:sz w:val="28"/>
        <w:szCs w:val="28"/>
      </w:rPr>
      <w:t xml:space="preserve"> </w:t>
    </w:r>
    <w:r w:rsidR="00030096" w:rsidRPr="00EC1527">
      <w:rPr>
        <w:b/>
        <w:color w:val="0070C0"/>
        <w:sz w:val="28"/>
        <w:szCs w:val="28"/>
      </w:rPr>
      <w:t>Security Solution</w:t>
    </w:r>
    <w:r w:rsidR="001D1932" w:rsidRPr="00EC1527">
      <w:rPr>
        <w:b/>
        <w:color w:val="0070C0"/>
        <w:sz w:val="28"/>
        <w:szCs w:val="28"/>
      </w:rPr>
      <w:t>s &amp; Services</w:t>
    </w:r>
    <w:r w:rsidRPr="00EC1527">
      <w:rPr>
        <w:b/>
        <w:color w:val="0070C0"/>
        <w:sz w:val="28"/>
        <w:szCs w:val="28"/>
      </w:rPr>
      <w:t xml:space="preserve"> Integrations </w:t>
    </w:r>
    <w:r w:rsidR="00845C4A" w:rsidRPr="00EC1527">
      <w:rPr>
        <w:b/>
        <w:color w:val="0070C0"/>
        <w:sz w:val="28"/>
        <w:szCs w:val="28"/>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3F1A"/>
    <w:multiLevelType w:val="hybridMultilevel"/>
    <w:tmpl w:val="3390A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DA79EF"/>
    <w:multiLevelType w:val="hybridMultilevel"/>
    <w:tmpl w:val="4030E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F21A30"/>
    <w:multiLevelType w:val="hybridMultilevel"/>
    <w:tmpl w:val="9A926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9E1560"/>
    <w:multiLevelType w:val="hybridMultilevel"/>
    <w:tmpl w:val="8FFEA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690F4E"/>
    <w:multiLevelType w:val="hybridMultilevel"/>
    <w:tmpl w:val="EE7EE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60"/>
    <w:rsid w:val="0000229B"/>
    <w:rsid w:val="000108D0"/>
    <w:rsid w:val="00030096"/>
    <w:rsid w:val="00047E4B"/>
    <w:rsid w:val="000862CA"/>
    <w:rsid w:val="000E0218"/>
    <w:rsid w:val="000E6BF9"/>
    <w:rsid w:val="0010614D"/>
    <w:rsid w:val="0013332B"/>
    <w:rsid w:val="00133FBA"/>
    <w:rsid w:val="001D0867"/>
    <w:rsid w:val="001D1932"/>
    <w:rsid w:val="001F0F60"/>
    <w:rsid w:val="00236CD9"/>
    <w:rsid w:val="00243471"/>
    <w:rsid w:val="002B13F5"/>
    <w:rsid w:val="002F1B21"/>
    <w:rsid w:val="00325113"/>
    <w:rsid w:val="00336CCB"/>
    <w:rsid w:val="00342E67"/>
    <w:rsid w:val="00383040"/>
    <w:rsid w:val="003870FF"/>
    <w:rsid w:val="00392BAE"/>
    <w:rsid w:val="003B25B6"/>
    <w:rsid w:val="003B62DD"/>
    <w:rsid w:val="003C5E6E"/>
    <w:rsid w:val="003C6D61"/>
    <w:rsid w:val="003E481D"/>
    <w:rsid w:val="00467558"/>
    <w:rsid w:val="004B7B1E"/>
    <w:rsid w:val="004C3053"/>
    <w:rsid w:val="004D3125"/>
    <w:rsid w:val="004D6617"/>
    <w:rsid w:val="00513767"/>
    <w:rsid w:val="00514A68"/>
    <w:rsid w:val="005339A6"/>
    <w:rsid w:val="0054067D"/>
    <w:rsid w:val="00545ED1"/>
    <w:rsid w:val="005D2A3C"/>
    <w:rsid w:val="005D46F8"/>
    <w:rsid w:val="005D54DF"/>
    <w:rsid w:val="0062104E"/>
    <w:rsid w:val="0064291C"/>
    <w:rsid w:val="00650009"/>
    <w:rsid w:val="00652AD7"/>
    <w:rsid w:val="00667DFC"/>
    <w:rsid w:val="00691BC8"/>
    <w:rsid w:val="006D659D"/>
    <w:rsid w:val="00774441"/>
    <w:rsid w:val="007A6A5F"/>
    <w:rsid w:val="007B3812"/>
    <w:rsid w:val="007C7D96"/>
    <w:rsid w:val="007F095E"/>
    <w:rsid w:val="0080273E"/>
    <w:rsid w:val="0084224F"/>
    <w:rsid w:val="00845C4A"/>
    <w:rsid w:val="00880740"/>
    <w:rsid w:val="008909B7"/>
    <w:rsid w:val="00891344"/>
    <w:rsid w:val="008C15BC"/>
    <w:rsid w:val="008C7B90"/>
    <w:rsid w:val="008D17CF"/>
    <w:rsid w:val="009F2BAA"/>
    <w:rsid w:val="009F7119"/>
    <w:rsid w:val="00A025FA"/>
    <w:rsid w:val="00A0298C"/>
    <w:rsid w:val="00A06B4B"/>
    <w:rsid w:val="00A50909"/>
    <w:rsid w:val="00A5285F"/>
    <w:rsid w:val="00A82437"/>
    <w:rsid w:val="00A97A93"/>
    <w:rsid w:val="00AA55D2"/>
    <w:rsid w:val="00AB0B31"/>
    <w:rsid w:val="00AC2362"/>
    <w:rsid w:val="00B04ADE"/>
    <w:rsid w:val="00B300EB"/>
    <w:rsid w:val="00B81427"/>
    <w:rsid w:val="00B87D82"/>
    <w:rsid w:val="00B904A5"/>
    <w:rsid w:val="00BA4F59"/>
    <w:rsid w:val="00BA54D1"/>
    <w:rsid w:val="00BB781A"/>
    <w:rsid w:val="00BE3503"/>
    <w:rsid w:val="00BF285D"/>
    <w:rsid w:val="00BF3AF0"/>
    <w:rsid w:val="00BF3D92"/>
    <w:rsid w:val="00C05966"/>
    <w:rsid w:val="00C32C1D"/>
    <w:rsid w:val="00C35496"/>
    <w:rsid w:val="00C54BD6"/>
    <w:rsid w:val="00C679B9"/>
    <w:rsid w:val="00C72039"/>
    <w:rsid w:val="00C816F1"/>
    <w:rsid w:val="00C904A0"/>
    <w:rsid w:val="00C94FB5"/>
    <w:rsid w:val="00CA1AD4"/>
    <w:rsid w:val="00CB41F5"/>
    <w:rsid w:val="00CC47B2"/>
    <w:rsid w:val="00CD7020"/>
    <w:rsid w:val="00D04660"/>
    <w:rsid w:val="00D2212D"/>
    <w:rsid w:val="00D43080"/>
    <w:rsid w:val="00DA6E10"/>
    <w:rsid w:val="00DB766D"/>
    <w:rsid w:val="00E145F2"/>
    <w:rsid w:val="00E433C7"/>
    <w:rsid w:val="00E91482"/>
    <w:rsid w:val="00EB448F"/>
    <w:rsid w:val="00EC1527"/>
    <w:rsid w:val="00EC36F8"/>
    <w:rsid w:val="00F038B3"/>
    <w:rsid w:val="00F1118C"/>
    <w:rsid w:val="00F635E0"/>
    <w:rsid w:val="00F64653"/>
    <w:rsid w:val="00F964FF"/>
    <w:rsid w:val="00FB2D51"/>
    <w:rsid w:val="00FC277A"/>
    <w:rsid w:val="00FD62AF"/>
    <w:rsid w:val="00FE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FA2E"/>
  <w15:chartTrackingRefBased/>
  <w15:docId w15:val="{885B3E77-7AA2-4B90-A9A9-63F19FAC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B4B"/>
    <w:pPr>
      <w:ind w:left="720"/>
      <w:contextualSpacing/>
    </w:pPr>
  </w:style>
  <w:style w:type="table" w:styleId="GridTable4-Accent5">
    <w:name w:val="Grid Table 4 Accent 5"/>
    <w:basedOn w:val="TableNormal"/>
    <w:uiPriority w:val="49"/>
    <w:rsid w:val="005339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BF3D92"/>
    <w:rPr>
      <w:color w:val="0563C1" w:themeColor="hyperlink"/>
      <w:u w:val="single"/>
    </w:rPr>
  </w:style>
  <w:style w:type="character" w:styleId="PlaceholderText">
    <w:name w:val="Placeholder Text"/>
    <w:basedOn w:val="DefaultParagraphFont"/>
    <w:uiPriority w:val="99"/>
    <w:semiHidden/>
    <w:rsid w:val="00C32C1D"/>
    <w:rPr>
      <w:color w:val="808080"/>
    </w:rPr>
  </w:style>
  <w:style w:type="paragraph" w:styleId="Header">
    <w:name w:val="header"/>
    <w:basedOn w:val="Normal"/>
    <w:link w:val="HeaderChar"/>
    <w:uiPriority w:val="99"/>
    <w:unhideWhenUsed/>
    <w:rsid w:val="00030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96"/>
  </w:style>
  <w:style w:type="paragraph" w:styleId="Footer">
    <w:name w:val="footer"/>
    <w:basedOn w:val="Normal"/>
    <w:link w:val="FooterChar"/>
    <w:uiPriority w:val="99"/>
    <w:unhideWhenUsed/>
    <w:rsid w:val="00030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process@ubc.ca" TargetMode="External"/><Relationship Id="rId13" Type="http://schemas.openxmlformats.org/officeDocument/2006/relationships/hyperlink" Target="mailto:raul.ramos@u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urity@ub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enak.grigoryan@ubc.ca" TargetMode="External"/><Relationship Id="rId5" Type="http://schemas.openxmlformats.org/officeDocument/2006/relationships/webSettings" Target="webSettings.xml"/><Relationship Id="rId15" Type="http://schemas.openxmlformats.org/officeDocument/2006/relationships/hyperlink" Target="mailto:security@ubc.ca" TargetMode="External"/><Relationship Id="rId10" Type="http://schemas.openxmlformats.org/officeDocument/2006/relationships/hyperlink" Target="mailto:marcela.hernandez@ub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bastian.gonzalez@ubc.ca" TargetMode="External"/><Relationship Id="rId14" Type="http://schemas.openxmlformats.org/officeDocument/2006/relationships/hyperlink" Target="mailto:aaron.heck@ubc.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ia.process@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629D-2681-4883-A69B-0A0846A3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Lonsdale-Eccles, Michael</dc:creator>
  <cp:keywords/>
  <dc:description/>
  <cp:lastModifiedBy>Gopal, Soumya</cp:lastModifiedBy>
  <cp:revision>2</cp:revision>
  <dcterms:created xsi:type="dcterms:W3CDTF">2019-05-09T21:35:00Z</dcterms:created>
  <dcterms:modified xsi:type="dcterms:W3CDTF">2019-05-09T21:35:00Z</dcterms:modified>
</cp:coreProperties>
</file>